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00000"/>
        </w:rPr>
        <w:t>StudioAgent AI视频制片平台软件操作手册</w:t>
      </w:r>
    </w:p>
    <w:p>
      <w:pPr>
        <w:pStyle w:val="Heading2"/>
      </w:pPr>
      <w:r>
        <w:rPr>
          <w:color w:val="000000"/>
        </w:rPr>
        <w:t>一、软件概述</w:t>
      </w:r>
    </w:p>
    <w:p>
      <w:r>
        <w:rPr>
          <w:rFonts w:ascii="SimSun" w:hAnsi="SimSun" w:eastAsia="SimSun"/>
          <w:color w:val="000000"/>
          <w:sz w:val="21"/>
        </w:rPr>
        <w:t>StudioAgent AI视频制片平台软件用于辅助用户完成视频内容创作。用户以自然语言描述创意、故事文本、广告目标或局部修改要求，软件围绕一个视频项目组织对话、制作进度和素材资产。系统中的制片人、编剧、导演、摄影、剪辑、音效等角色分别承担规划、剧本、分镜、画面、视频和声音相关工作，用户可在关键节点查看结果并作出确认。</w:t>
      </w:r>
    </w:p>
    <w:p>
      <w:r>
        <w:rPr>
          <w:rFonts w:ascii="SimSun" w:hAnsi="SimSun" w:eastAsia="SimSun"/>
          <w:color w:val="000000"/>
          <w:sz w:val="21"/>
        </w:rPr>
        <w:t>软件的主要使用对象包括小说或 IP 作者、短视频创作者、影视预览制作人员、企业市场宣传人员，以及需要管理角色、场景、分镜、视频和音频素材的内容团队。审核时可把本软件理解为一个面向视频制作过程的项目工作区：用户先创建项目，再通过对话推进制作，制作过程中形成的素材在同一页面分类查看和复用。</w:t>
      </w:r>
    </w:p>
    <w:p>
      <w:pPr>
        <w:pStyle w:val="Heading2"/>
      </w:pPr>
      <w:r>
        <w:rPr>
          <w:color w:val="000000"/>
        </w:rPr>
        <w:t>二、运行环境与进入方式</w:t>
      </w:r>
    </w:p>
    <w:p>
      <w:r>
        <w:rPr>
          <w:rFonts w:ascii="SimSun" w:hAnsi="SimSun" w:eastAsia="SimSun"/>
          <w:color w:val="000000"/>
          <w:sz w:val="21"/>
        </w:rPr>
        <w:t>本软件以网页方式使用，用户通过浏览器打开系统地址进入首页。首页显示软件名称和“开始创作”“登录”等入口，未登录用户可先进入注册或登录页面，已登录用户可进入项目列表继续处理已有项目。</w:t>
      </w:r>
    </w:p>
    <w:p>
      <w:r>
        <w:rPr>
          <w:rFonts w:ascii="SimSun" w:hAnsi="SimSun" w:eastAsia="SimSun"/>
          <w:color w:val="000000"/>
          <w:sz w:val="21"/>
        </w:rPr>
        <w:t>软件部署时需要准备前台页面服务、后台业务服务、数据库、缓存服务以及浏览器访问环境。用户侧通常只需要使用 Chrome、Edge、Safari 等现代浏览器访问系统页面；具体服务器、数据库和缓存服务由部署人员根据实际环境配置。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【截图预留：请在此处插入“StudioAgent 首页或进入方式”截图。】</w:t>
      </w:r>
    </w:p>
    <w:p>
      <w:pPr>
        <w:pStyle w:val="Heading2"/>
      </w:pPr>
      <w:r>
        <w:rPr>
          <w:color w:val="000000"/>
        </w:rPr>
        <w:t>三、账号注册与登录</w:t>
      </w:r>
    </w:p>
    <w:p>
      <w:r>
        <w:rPr>
          <w:rFonts w:ascii="SimSun" w:hAnsi="SimSun" w:eastAsia="SimSun"/>
          <w:color w:val="000000"/>
          <w:sz w:val="21"/>
        </w:rPr>
        <w:t>用户首次使用时，可以在注册页面填写昵称、邮箱和密码。提交后，软件会创建账号并保存登录状态，随后跳转到项目列表页面。若邮箱已被注册、密码不符合要求或网络请求失败，页面会显示错误提示，用户可修改信息后重新提交。</w:t>
      </w:r>
    </w:p>
    <w:p>
      <w:r>
        <w:rPr>
          <w:rFonts w:ascii="SimSun" w:hAnsi="SimSun" w:eastAsia="SimSun"/>
          <w:color w:val="000000"/>
          <w:sz w:val="21"/>
        </w:rPr>
        <w:t>已有账号的用户进入登录页面后，填写邮箱和密码并提交。登录通过后，软件会获取当前用户信息，把登录状态保存到本地，并进入“我的项目”页面。登录失败时，页面会保留在登录页并提示用户检查账号或密码。</w:t>
      </w:r>
    </w:p>
    <w:p>
      <w:r>
        <w:rPr>
          <w:rFonts w:ascii="SimSun" w:hAnsi="SimSun" w:eastAsia="SimSun"/>
          <w:color w:val="000000"/>
          <w:sz w:val="21"/>
        </w:rPr>
        <w:t>操作步骤：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打开软件首页，点击“登录”或进入注册页面。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注册时填写昵称、邮箱和密码；登录时填写邮箱和密码。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点击“注册”或“登录”按钮提交。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根据页面反馈进入项目列表，或按错误提示修改信息后重新提交。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【截图预留：请在此处插入“账号注册与登录”页面或操作结果截图。】</w:t>
      </w:r>
    </w:p>
    <w:p>
      <w:pPr>
        <w:pStyle w:val="Heading2"/>
      </w:pPr>
      <w:r>
        <w:rPr>
          <w:color w:val="000000"/>
        </w:rPr>
        <w:t>四、项目创建与项目列表管理</w:t>
      </w:r>
    </w:p>
    <w:p>
      <w:r>
        <w:rPr>
          <w:rFonts w:ascii="SimSun" w:hAnsi="SimSun" w:eastAsia="SimSun"/>
          <w:color w:val="000000"/>
          <w:sz w:val="21"/>
        </w:rPr>
        <w:t>用户登录后进入“我的项目”页面。页面展示当前账号下已有的视频制作项目，每个项目以卡片形式显示项目名称、描述、风格和创建日期，用户可通过卡片区分不同创作任务。页面加载时会读取项目列表，若登录状态失效，软件会引导用户回到登录页。</w:t>
      </w:r>
    </w:p>
    <w:p>
      <w:r>
        <w:rPr>
          <w:rFonts w:ascii="SimSun" w:hAnsi="SimSun" w:eastAsia="SimSun"/>
          <w:color w:val="000000"/>
          <w:sz w:val="21"/>
        </w:rPr>
        <w:t>创建新项目时，用户点击“新建项目”，在弹出的窗口中填写项目名称和可选描述。项目名称用于识别当前视频任务，描述可记录想制作的内容方向，例如短剧、广告片、概念预览或企业宣传片。创建成功后，软件会自动进入该项目的制片工作区。</w:t>
      </w:r>
    </w:p>
    <w:p>
      <w:r>
        <w:rPr>
          <w:rFonts w:ascii="SimSun" w:hAnsi="SimSun" w:eastAsia="SimSun"/>
          <w:color w:val="000000"/>
          <w:sz w:val="21"/>
        </w:rPr>
        <w:t>操作步骤：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登录后进入“我的项目”页面。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查看已有项目卡片，或点击“新建项目”。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填写项目名称和描述，点击“创建”。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创建成功后进入项目工作区；需要继续已有项目时，点击对应项目卡片进入。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【截图预留：请在此处插入“我的项目”列表和新建项目窗口截图。】</w:t>
      </w:r>
    </w:p>
    <w:p>
      <w:pPr>
        <w:pStyle w:val="Heading2"/>
      </w:pPr>
      <w:r>
        <w:rPr>
          <w:color w:val="000000"/>
        </w:rPr>
        <w:t>五、AI 制片工作区</w:t>
      </w:r>
    </w:p>
    <w:p>
      <w:r>
        <w:rPr>
          <w:rFonts w:ascii="SimSun" w:hAnsi="SimSun" w:eastAsia="SimSun"/>
          <w:color w:val="000000"/>
          <w:sz w:val="21"/>
        </w:rPr>
        <w:t>项目工作区是本软件的核心页面。页面顶部显示 StudioAgent 标识和当前项目名称，左侧为对话区域，右侧为项目资产区域，底部显示余额、本项目消耗和当前模型等状态。用户进入项目后，软件会读取项目信息，并获取或创建对应的项目对话。</w:t>
      </w:r>
    </w:p>
    <w:p>
      <w:r>
        <w:rPr>
          <w:rFonts w:ascii="SimSun" w:hAnsi="SimSun" w:eastAsia="SimSun"/>
          <w:color w:val="000000"/>
          <w:sz w:val="21"/>
        </w:rPr>
        <w:t>用户在左侧输入框中描述制作要求，例如“把这个故事做成 30 秒短片”“先生成角色形象”“把第三个分镜重新设计”。软件会把用户消息加入对话记录，并以连续消息形式显示制片过程。对话区会展示用户消息、助手回复、工具处理结果和思考中的提示，便于用户理解当前制作进展。</w:t>
      </w:r>
    </w:p>
    <w:p>
      <w:r>
        <w:rPr>
          <w:rFonts w:ascii="SimSun" w:hAnsi="SimSun" w:eastAsia="SimSun"/>
          <w:color w:val="000000"/>
          <w:sz w:val="21"/>
        </w:rPr>
        <w:t>操作步骤：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从项目列表进入某个项目。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在左侧对话输入框中输入创作需求或修改意见。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等待软件返回制片人或其他制作角色的回复。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查看回复内容、处理状态和结果提示，必要时继续输入补充要求。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【截图预留：请在此处插入“AI 制片工作区对话面板”截图。】</w:t>
      </w:r>
    </w:p>
    <w:p>
      <w:pPr>
        <w:pStyle w:val="Heading2"/>
      </w:pPr>
      <w:r>
        <w:rPr>
          <w:color w:val="000000"/>
        </w:rPr>
        <w:t>六、多角色协作状态查看</w:t>
      </w:r>
    </w:p>
    <w:p>
      <w:r>
        <w:rPr>
          <w:rFonts w:ascii="SimSun" w:hAnsi="SimSun" w:eastAsia="SimSun"/>
          <w:color w:val="000000"/>
          <w:sz w:val="21"/>
        </w:rPr>
        <w:t>软件把视频制作过程拆分给多个制作角色协作处理，包括制片人、编剧、导演、摄影、剪辑和音效。制片人负责理解用户意图和安排下一步；编剧处理文本分析、角色和剧本；导演处理分镜和镜头规划；摄影处理角色、场景和分镜画面；剪辑处理视频片段和时间线；音效处理配音、音效和背景音乐。</w:t>
      </w:r>
    </w:p>
    <w:p>
      <w:r>
        <w:rPr>
          <w:rFonts w:ascii="SimSun" w:hAnsi="SimSun" w:eastAsia="SimSun"/>
          <w:color w:val="000000"/>
          <w:sz w:val="21"/>
        </w:rPr>
        <w:t>在工作区中，用户可以通过状态栏查看当前由哪个角色处理任务，以及角色之间是否发生交接。软件在收到工作开始、消息返回、处理结果、确认请求或完成信号时，会更新页面状态。这样用户无需了解内部执行细节，也能知道当前制作环节处于等待、处理中还是已完成。</w:t>
      </w:r>
    </w:p>
    <w:p>
      <w:r>
        <w:rPr>
          <w:rFonts w:ascii="SimSun" w:hAnsi="SimSun" w:eastAsia="SimSun"/>
          <w:color w:val="000000"/>
          <w:sz w:val="21"/>
        </w:rPr>
        <w:t>操作步骤：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在项目工作区提交创作需求。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查看对话区下方或附近的角色状态栏。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观察当前工作中的角色名称和交接状态。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当软件请求确认时，根据页面提示选择确认、修改或继续补充说明。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【截图预留：请在此处插入“多角色协作状态栏”截图。】</w:t>
      </w:r>
    </w:p>
    <w:p>
      <w:pPr>
        <w:pStyle w:val="Heading2"/>
      </w:pPr>
      <w:r>
        <w:rPr>
          <w:color w:val="000000"/>
        </w:rPr>
        <w:t>七、项目资产分类查看</w:t>
      </w:r>
    </w:p>
    <w:p>
      <w:r>
        <w:rPr>
          <w:rFonts w:ascii="SimSun" w:hAnsi="SimSun" w:eastAsia="SimSun"/>
          <w:color w:val="000000"/>
          <w:sz w:val="21"/>
        </w:rPr>
        <w:t>工作区右侧为项目资产面板，用于集中展示创作过程中形成的角色、场景、分镜、视频和音频。页面顶部以标签形式区分素材类型，用户可在不同标签之间切换。项目刚创建时，资产区域会提示“项目资产将在创作过程中自动生成”；随着制作推进，相关素材会逐步沉淀到对应分类。</w:t>
      </w:r>
    </w:p>
    <w:p>
      <w:r>
        <w:rPr>
          <w:rFonts w:ascii="SimSun" w:hAnsi="SimSun" w:eastAsia="SimSun"/>
          <w:color w:val="000000"/>
          <w:sz w:val="21"/>
        </w:rPr>
        <w:t>该功能帮助用户在对话之外查看项目产物。比如角色形象、场景图、分镜画面、视频片段和音频内容可以按类型分开呈现，用户在确认或修改时能更清楚地找到目标素材。对于需要反复调整的项目，资产面板也能帮助用户把已生成内容和待处理内容区分开。</w:t>
      </w:r>
    </w:p>
    <w:p>
      <w:r>
        <w:rPr>
          <w:rFonts w:ascii="SimSun" w:hAnsi="SimSun" w:eastAsia="SimSun"/>
          <w:color w:val="000000"/>
          <w:sz w:val="21"/>
        </w:rPr>
        <w:t>操作步骤：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进入项目工作区并查看右侧资产面板。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点击“角色”“场景”“分镜”“视频”“音频”等标签。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查看当前分类下已有素材或空状态提示。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根据对话结果继续生成、确认或调整对应素材。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【截图预留：请在此处插入“项目资产分类面板”截图。】</w:t>
      </w:r>
    </w:p>
    <w:p>
      <w:pPr>
        <w:pStyle w:val="Heading2"/>
      </w:pPr>
      <w:r>
        <w:rPr>
          <w:color w:val="000000"/>
        </w:rPr>
        <w:t>八、候选素材选择与撤回</w:t>
      </w:r>
    </w:p>
    <w:p>
      <w:r>
        <w:rPr>
          <w:rFonts w:ascii="SimSun" w:hAnsi="SimSun" w:eastAsia="SimSun"/>
          <w:color w:val="000000"/>
          <w:sz w:val="21"/>
        </w:rPr>
        <w:t>当软件为角色形象、场景图或分镜画面生成多个候选结果时，用户可以在候选中选择满意项。候选选择功能会记录原始素材、候选列表、当前选中项和上一个版本，方便用户比较不同结果。用户确认后，选中的候选会作为当前素材保存；如果结果不合适，也可以取消本次候选或撤回到上一版本。</w:t>
      </w:r>
    </w:p>
    <w:p>
      <w:r>
        <w:rPr>
          <w:rFonts w:ascii="SimSun" w:hAnsi="SimSun" w:eastAsia="SimSun"/>
          <w:color w:val="000000"/>
          <w:sz w:val="21"/>
        </w:rPr>
        <w:t>该功能适合处理视觉结果存在多种可能的制作环节。例如角色外观可能有多张候选图，场景画面可能有多个氛围版本，分镜图可能有不同构图。用户可先浏览候选，再选择最符合项目风格的一项，减少直接覆盖已有素材带来的风险。</w:t>
      </w:r>
    </w:p>
    <w:p>
      <w:r>
        <w:rPr>
          <w:rFonts w:ascii="SimSun" w:hAnsi="SimSun" w:eastAsia="SimSun"/>
          <w:color w:val="000000"/>
          <w:sz w:val="21"/>
        </w:rPr>
        <w:t>操作步骤：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在生成角色、场景或分镜画面后查看候选结果。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点击不同候选，比较画面、风格或内容是否符合要求。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选择满意项后点击确认，使其成为当前素材。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如果不采用本轮候选，选择取消；如果需要恢复，使用撤回入口回到上一版本。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【截图预留：请在此处插入“候选素材选择与撤回”页面或操作结果截图。】</w:t>
      </w:r>
    </w:p>
    <w:p>
      <w:pPr>
        <w:pStyle w:val="Heading2"/>
      </w:pPr>
      <w:r>
        <w:rPr>
          <w:color w:val="000000"/>
        </w:rPr>
        <w:t>九、全局素材库</w:t>
      </w:r>
    </w:p>
    <w:p>
      <w:r>
        <w:rPr>
          <w:rFonts w:ascii="SimSun" w:hAnsi="SimSun" w:eastAsia="SimSun"/>
          <w:color w:val="000000"/>
          <w:sz w:val="21"/>
        </w:rPr>
        <w:t>全局素材库用于保存可跨项目复用的角色、场景和音色。用户进入素材库页面后，左侧可查看素材文件夹区域，右侧可通过“全部”“角色”“场景”“音色”等分类查看素材内容。该页面适合存放长期使用的品牌角色、常用场景、固定音色或其他可复用资料。</w:t>
      </w:r>
    </w:p>
    <w:p>
      <w:r>
        <w:rPr>
          <w:rFonts w:ascii="SimSun" w:hAnsi="SimSun" w:eastAsia="SimSun"/>
          <w:color w:val="000000"/>
          <w:sz w:val="21"/>
        </w:rPr>
        <w:t>在具体项目制作时，用户可从全局素材库选择已有素材并复制到当前项目。复制后的素材属于当前项目，后续修改不会影响全局原始素材。这样既能复用常用设定，也能允许单个项目按需要进行独立调整。</w:t>
      </w:r>
    </w:p>
    <w:p>
      <w:r>
        <w:rPr>
          <w:rFonts w:ascii="SimSun" w:hAnsi="SimSun" w:eastAsia="SimSun"/>
          <w:color w:val="000000"/>
          <w:sz w:val="21"/>
        </w:rPr>
        <w:t>操作步骤：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从系统导航进入“素材库”页面。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在左侧选择文件夹，或在右侧切换“全部”“角色”“场景”“音色”分类。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查看已有素材，选择需要用于项目的内容。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将素材复制到当前项目后，在项目资产面板中继续查看和使用。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【截图预留：请在此处插入“全局素材库”页面截图。】</w:t>
      </w:r>
    </w:p>
    <w:p>
      <w:pPr>
        <w:pStyle w:val="Heading2"/>
      </w:pPr>
      <w:r>
        <w:rPr>
          <w:color w:val="000000"/>
        </w:rPr>
        <w:t>十、计费与成本查看</w:t>
      </w:r>
    </w:p>
    <w:p>
      <w:r>
        <w:rPr>
          <w:rFonts w:ascii="SimSun" w:hAnsi="SimSun" w:eastAsia="SimSun"/>
          <w:color w:val="000000"/>
          <w:sz w:val="21"/>
        </w:rPr>
        <w:t>AI 视频制作通常涉及文字处理、图片生成、视频生成和语音生成等不同任务。软件在项目工作区底部显示余额、本项目消耗和当前模型，方便用户在制作过程中了解费用状态。用户还可以进入计费管理页面查看余额和交易记录入口。</w:t>
      </w:r>
    </w:p>
    <w:p>
      <w:r>
        <w:rPr>
          <w:rFonts w:ascii="SimSun" w:hAnsi="SimSun" w:eastAsia="SimSun"/>
          <w:color w:val="000000"/>
          <w:sz w:val="21"/>
        </w:rPr>
        <w:t>在实际使用中，用户可根据项目消耗决定继续生成、暂停制作或调整制作范围。对于需要大量生成候选素材、视频片段或配音内容的项目，成本信息能帮助用户在确认前进行判断。</w:t>
      </w:r>
    </w:p>
    <w:p>
      <w:r>
        <w:rPr>
          <w:rFonts w:ascii="SimSun" w:hAnsi="SimSun" w:eastAsia="SimSun"/>
          <w:color w:val="000000"/>
          <w:sz w:val="21"/>
        </w:rPr>
        <w:t>操作步骤：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在项目工作区底部查看余额、本项目消耗和当前模型。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需要查看更完整费用信息时，进入“计费管理”页面。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查看余额、交易记录或充值入口。</w:t>
      </w:r>
    </w:p>
    <w:p>
      <w:pPr>
        <w:pStyle w:val="ListNumber"/>
      </w:pPr>
      <w:r>
        <w:rPr>
          <w:rFonts w:ascii="SimSun" w:hAnsi="SimSun" w:eastAsia="SimSun"/>
          <w:color w:val="000000"/>
          <w:sz w:val="21"/>
        </w:rPr>
        <w:t>根据费用状态决定继续生成、减少候选数量或暂停当前项目。</w:t>
      </w:r>
    </w:p>
    <w:p>
      <w:r>
        <w:rPr>
          <w:rFonts w:ascii="SimSun" w:hAnsi="SimSun" w:eastAsia="SimSun"/>
          <w:color w:val="000000"/>
          <w:sz w:val="21"/>
        </w:rPr>
        <w:t>【截图预留：请在此处插入“计费管理或工作区底部费用状态”截图。】</w:t>
      </w:r>
    </w:p>
    <w:p>
      <w:pPr>
        <w:pStyle w:val="Heading2"/>
      </w:pPr>
      <w:r>
        <w:rPr>
          <w:color w:val="000000"/>
        </w:rPr>
        <w:t>十一、典型使用流程</w:t>
      </w:r>
    </w:p>
    <w:p>
      <w:r>
        <w:rPr>
          <w:rFonts w:ascii="SimSun" w:hAnsi="SimSun" w:eastAsia="SimSun"/>
          <w:color w:val="000000"/>
          <w:sz w:val="21"/>
        </w:rPr>
        <w:t>用户第一次使用软件时，通常先完成注册或登录，然后进入“我的项目”页面创建新项目。项目创建时填写名称和描述，用于说明本次视频制作目标。项目创建成功后，软件进入工作区，用户在左侧对话面板输入创意要求，右侧资产面板用于查看制作过程中生成的素材。</w:t>
      </w:r>
    </w:p>
    <w:p>
      <w:r>
        <w:rPr>
          <w:rFonts w:ascii="SimSun" w:hAnsi="SimSun" w:eastAsia="SimSun"/>
          <w:color w:val="000000"/>
          <w:sz w:val="21"/>
        </w:rPr>
        <w:t>当用户提交制作需求后，软件会由制片人角色理解意图，并根据项目已有内容安排下一步。若用户提供的是故事文本，软件可能先分析角色和场景；若用户要求生成画面，软件会关注角色、场景和分镜素材；若用户要求修改已有结果，软件会围绕指定素材重新处理。制作过程中如出现多个候选，用户选择满意项后确认保存。</w:t>
      </w:r>
    </w:p>
    <w:p>
      <w:r>
        <w:rPr>
          <w:rFonts w:ascii="SimSun" w:hAnsi="SimSun" w:eastAsia="SimSun"/>
          <w:color w:val="000000"/>
          <w:sz w:val="21"/>
        </w:rPr>
        <w:t>项目推进一段时间后，用户可以在资产面板查看角色、场景、分镜、视频和音频，也可以进入全局素材库复用已有素材。制作过程中，用户可随时通过对话补充要求、修改方向或暂停处理。费用信息可在工作区底部和计费页面查看。</w:t>
      </w:r>
    </w:p>
    <w:p>
      <w:pPr>
        <w:pStyle w:val="Heading2"/>
      </w:pPr>
      <w:r>
        <w:rPr>
          <w:color w:val="000000"/>
        </w:rPr>
        <w:t>十二、使用注意事项</w:t>
      </w:r>
    </w:p>
    <w:p>
      <w:r>
        <w:rPr>
          <w:rFonts w:ascii="SimSun" w:hAnsi="SimSun" w:eastAsia="SimSun"/>
          <w:color w:val="000000"/>
          <w:sz w:val="21"/>
        </w:rPr>
        <w:t>用户应使用本人账号登录，并妥善管理项目内容和生成素材。涉及商业宣传、影视内容或 IP 改编的项目，用户应确认输入素材和生成结果的使用权限，避免上传不应使用的文本、图片、音频或视频资料。</w:t>
      </w:r>
    </w:p>
    <w:p>
      <w:r>
        <w:rPr>
          <w:rFonts w:ascii="SimSun" w:hAnsi="SimSun" w:eastAsia="SimSun"/>
          <w:color w:val="000000"/>
          <w:sz w:val="21"/>
        </w:rPr>
        <w:t>软件的生成结果会受到输入描述、素材质量、模型能力和网络环境影响。对于重要项目，建议用户在关键环节检查角色设定、场景描述、分镜画面、视频片段和音频结果，并在确认后再继续下一步。若页面长时间无响应，可刷新页面或重新进入项目查看处理状态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000000"/>
      </w:rPr>
    </w: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961"/>
      <w:gridCol w:w="4961"/>
    </w:tblGrid>
    <w:tr>
      <w:tc>
        <w:tcPr>
          <w:tcW w:type="dxa" w:w="4961"/>
          <w:tcBorders>
            <w:top w:val="nil"/>
            <w:left w:val="nil"/>
            <w:bottom w:val="nil"/>
            <w:right w:val="nil"/>
          </w:tcBorders>
        </w:tcPr>
        <w:p>
          <w:pPr>
            <w:spacing w:before="0" w:after="0" w:lineRule="exact" w:line="240"/>
            <w:jc w:val="left"/>
          </w:pPr>
          <w:r>
            <w:rPr>
              <w:rFonts w:ascii="SimSun" w:hAnsi="SimSun" w:eastAsia="SimSun"/>
              <w:color w:val="000000"/>
              <w:sz w:val="16"/>
            </w:rPr>
            <w:t>StudioAgent AI视频制片平台软件 V0.1.0</w:t>
          </w:r>
        </w:p>
      </w:tc>
      <w:tc>
        <w:tcPr>
          <w:tcW w:type="dxa" w:w="4961"/>
          <w:tcBorders>
            <w:top w:val="nil"/>
            <w:left w:val="nil"/>
            <w:bottom w:val="nil"/>
            <w:right w:val="nil"/>
          </w:tcBorders>
        </w:tcPr>
        <w:p>
          <w:pPr>
            <w:spacing w:before="0" w:after="0" w:lineRule="exact" w:line="240"/>
            <w:jc w:val="right"/>
          </w:pPr>
          <w:r>
            <w:rPr>
              <w:rFonts w:ascii="SimSun" w:hAnsi="SimSun" w:eastAsia="SimSun"/>
              <w:color w:val="000000"/>
              <w:sz w:val="16"/>
            </w:rPr>
            <w:t xml:space="preserve">第 </w:t>
          </w:r>
          <w:r>
            <w:rPr>
              <w:rFonts w:ascii="SimSun" w:hAnsi="SimSun" w:eastAsia="SimSun"/>
              <w:color w:val="000000"/>
              <w:sz w:val="16"/>
            </w:rPr>
            <w:fldChar w:fldCharType="begin"/>
          </w:r>
          <w:r>
            <w:rPr>
              <w:rFonts w:ascii="SimSun" w:hAnsi="SimSun" w:eastAsia="SimSun"/>
              <w:color w:val="000000"/>
              <w:sz w:val="16"/>
            </w:rPr>
            <w:instrText xml:space="preserve"> PAGE </w:instrText>
          </w:r>
          <w:r>
            <w:rPr>
              <w:rFonts w:ascii="SimSun" w:hAnsi="SimSun" w:eastAsia="SimSun"/>
              <w:color w:val="000000"/>
              <w:sz w:val="16"/>
            </w:rPr>
            <w:fldChar w:fldCharType="separate"/>
          </w:r>
          <w:r>
            <w:rPr>
              <w:rFonts w:ascii="SimSun" w:hAnsi="SimSun" w:eastAsia="SimSun"/>
              <w:color w:val="000000"/>
              <w:sz w:val="16"/>
            </w:rPr>
            <w:t>1</w:t>
          </w:r>
          <w:r>
            <w:rPr>
              <w:rFonts w:ascii="SimSun" w:hAnsi="SimSun" w:eastAsia="SimSun"/>
              <w:color w:val="000000"/>
              <w:sz w:val="16"/>
            </w:rPr>
            <w:fldChar w:fldCharType="end"/>
          </w:r>
          <w:r>
            <w:rPr>
              <w:rFonts w:ascii="SimSun" w:hAnsi="SimSun" w:eastAsia="SimSun"/>
              <w:color w:val="000000"/>
              <w:sz w:val="16"/>
            </w:rPr>
            <w:t xml:space="preserve"> 页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  <w:color w:val="000000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  <w:color w:val="000000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color w:val="00000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color w:val="00000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color w:val="00000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  <w:color w:val="000000"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0000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color w:val="000000"/>
      </w:rPr>
    </w:tblStylePr>
    <w:tblStylePr w:type="lastCol"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color w:val="000000"/>
      </w:rPr>
    </w:tblStylePr>
    <w:tblStylePr w:type="lastCol"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color w:val="000000"/>
      </w:rPr>
    </w:tblStylePr>
    <w:tblStylePr w:type="lastCol"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color w:val="000000"/>
      </w:rPr>
    </w:tblStylePr>
    <w:tblStylePr w:type="lastCol"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color w:val="000000"/>
      </w:rPr>
    </w:tblStylePr>
    <w:tblStylePr w:type="lastCol"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color w:val="000000"/>
      </w:rPr>
    </w:tblStylePr>
    <w:tblStylePr w:type="lastCol"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color w:val="000000"/>
      </w:rPr>
    </w:tblStylePr>
    <w:tblStylePr w:type="lastCol">
      <w:rPr>
        <w:rFonts w:asciiTheme="majorHAnsi" w:eastAsiaTheme="majorEastAsia" w:hAnsiTheme="majorHAnsi" w:cstheme="majorBidi"/>
        <w:b/>
        <w:bCs/>
        <w:color w:val="000000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000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00000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00000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00000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00000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00000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00000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olor w:val="00000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olor w:val="000000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olor w:val="000000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olor w:val="000000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olor w:val="000000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olor w:val="000000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olor w:val="000000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  <w:color w:val="000000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  <w:color w:val="000000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  <w:color w:val="000000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  <w:color w:val="000000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  <w:color w:val="000000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  <w:color w:val="000000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  <w:color w:val="000000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</w:tblStylePr>
    <w:tblStylePr w:type="lastRow">
      <w:rPr>
        <w:b/>
        <w:bCs/>
        <w:color w:val="00000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</w:tblStylePr>
    <w:tblStylePr w:type="lastRow">
      <w:rPr>
        <w:b/>
        <w:bCs/>
        <w:color w:val="000000"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</w:tblStylePr>
    <w:tblStylePr w:type="lastRow">
      <w:rPr>
        <w:b/>
        <w:bCs/>
        <w:color w:val="000000"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</w:tblStylePr>
    <w:tblStylePr w:type="lastRow">
      <w:rPr>
        <w:b/>
        <w:bCs/>
        <w:color w:val="000000"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</w:tblStylePr>
    <w:tblStylePr w:type="lastRow">
      <w:rPr>
        <w:b/>
        <w:bCs/>
        <w:color w:val="000000"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</w:tblStylePr>
    <w:tblStylePr w:type="lastRow">
      <w:rPr>
        <w:b/>
        <w:bCs/>
        <w:color w:val="000000"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</w:tblStylePr>
    <w:tblStylePr w:type="lastRow">
      <w:rPr>
        <w:b/>
        <w:bCs/>
        <w:color w:val="000000"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000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000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000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000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00000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00000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00000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00000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00000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00000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00000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00000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00000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00000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00000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00000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00000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00000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00000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00000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00000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00000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00000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00000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00000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00000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00000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00000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000000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0000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000000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000000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000000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000000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000000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000000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000000"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/>
      </w:rPr>
      <w:tblPr/>
      <w:tcPr>
        <w:shd w:val="clear" w:color="auto" w:fill="999999" w:themeFill="text1" w:themeFillTint="66"/>
      </w:tcPr>
    </w:tblStylePr>
    <w:tblStylePr w:type="firstCol">
      <w:rPr>
        <w:color w:val="000000"/>
      </w:rPr>
      <w:tblPr/>
      <w:tcPr>
        <w:shd w:val="clear" w:color="auto" w:fill="000000" w:themeFill="text1" w:themeFillShade="BF"/>
      </w:tcPr>
    </w:tblStylePr>
    <w:tblStylePr w:type="lastCol">
      <w:rPr>
        <w:color w:val="00000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000000"/>
      </w:rPr>
      <w:tblPr/>
      <w:tcPr>
        <w:shd w:val="clear" w:color="auto" w:fill="365F91" w:themeFill="accent1" w:themeFillShade="BF"/>
      </w:tcPr>
    </w:tblStylePr>
    <w:tblStylePr w:type="lastCol">
      <w:rPr>
        <w:color w:val="000000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000000"/>
      </w:rPr>
      <w:tblPr/>
      <w:tcPr>
        <w:shd w:val="clear" w:color="auto" w:fill="943634" w:themeFill="accent2" w:themeFillShade="BF"/>
      </w:tcPr>
    </w:tblStylePr>
    <w:tblStylePr w:type="lastCol">
      <w:rPr>
        <w:color w:val="000000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000000"/>
      </w:rPr>
      <w:tblPr/>
      <w:tcPr>
        <w:shd w:val="clear" w:color="auto" w:fill="76923C" w:themeFill="accent3" w:themeFillShade="BF"/>
      </w:tcPr>
    </w:tblStylePr>
    <w:tblStylePr w:type="lastCol">
      <w:rPr>
        <w:color w:val="000000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000000"/>
      </w:rPr>
      <w:tblPr/>
      <w:tcPr>
        <w:shd w:val="clear" w:color="auto" w:fill="5F497A" w:themeFill="accent4" w:themeFillShade="BF"/>
      </w:tcPr>
    </w:tblStylePr>
    <w:tblStylePr w:type="lastCol">
      <w:rPr>
        <w:color w:val="000000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000000"/>
      </w:rPr>
      <w:tblPr/>
      <w:tcPr>
        <w:shd w:val="clear" w:color="auto" w:fill="31849B" w:themeFill="accent5" w:themeFillShade="BF"/>
      </w:tcPr>
    </w:tblStylePr>
    <w:tblStylePr w:type="lastCol">
      <w:rPr>
        <w:color w:val="000000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000000"/>
      </w:rPr>
      <w:tblPr/>
      <w:tcPr>
        <w:shd w:val="clear" w:color="auto" w:fill="E36C0A" w:themeFill="accent6" w:themeFillShade="BF"/>
      </w:tcPr>
    </w:tblStylePr>
    <w:tblStylePr w:type="lastCol">
      <w:rPr>
        <w:color w:val="000000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